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A7419" w14:textId="77777777" w:rsidR="00080D24" w:rsidRPr="002466AB" w:rsidRDefault="00080D24" w:rsidP="00080D24">
      <w:pPr>
        <w:spacing w:after="240" w:line="360" w:lineRule="auto"/>
        <w:jc w:val="both"/>
        <w:rPr>
          <w:rFonts w:ascii="Times New Roman" w:eastAsia="Times New Roman" w:hAnsi="Times New Roman"/>
          <w:b/>
          <w:bCs/>
          <w:color w:val="92D050"/>
          <w:sz w:val="24"/>
          <w:szCs w:val="24"/>
          <w:lang w:val="hu-HU" w:eastAsia="en-GB"/>
        </w:rPr>
      </w:pPr>
      <w:r w:rsidRPr="002466AB">
        <w:rPr>
          <w:rFonts w:ascii="Times New Roman" w:eastAsia="Times New Roman" w:hAnsi="Times New Roman"/>
          <w:b/>
          <w:bCs/>
          <w:color w:val="92D050"/>
          <w:sz w:val="24"/>
          <w:szCs w:val="24"/>
          <w:lang w:val="hu-HU" w:eastAsia="en-GB"/>
        </w:rPr>
        <w:t>6.3.</w:t>
      </w:r>
      <w:r w:rsidRPr="00F4618B">
        <w:rPr>
          <w:rFonts w:ascii="Times New Roman" w:eastAsia="Times New Roman" w:hAnsi="Times New Roman"/>
          <w:sz w:val="24"/>
          <w:szCs w:val="24"/>
          <w:lang w:val="hu-HU" w:eastAsia="en-GB"/>
        </w:rPr>
        <w:t xml:space="preserve"> </w:t>
      </w:r>
      <w:r w:rsidRPr="002466AB">
        <w:rPr>
          <w:rFonts w:ascii="Times New Roman" w:eastAsia="Times New Roman" w:hAnsi="Times New Roman"/>
          <w:b/>
          <w:bCs/>
          <w:color w:val="92D050"/>
          <w:sz w:val="24"/>
          <w:szCs w:val="24"/>
          <w:lang w:val="hu-HU" w:eastAsia="en-GB"/>
        </w:rPr>
        <w:t>Beruházás, befektetés finanszírozás</w:t>
      </w:r>
    </w:p>
    <w:p w14:paraId="46B9E441" w14:textId="77777777" w:rsidR="001869C1" w:rsidRPr="001869C1" w:rsidRDefault="001869C1" w:rsidP="00177486">
      <w:pPr>
        <w:pStyle w:val="NormlWeb"/>
        <w:shd w:val="clear" w:color="auto" w:fill="FFFFFF"/>
        <w:spacing w:before="0" w:beforeAutospacing="0" w:after="0" w:afterAutospacing="0"/>
      </w:pPr>
      <w:r w:rsidRPr="001869C1">
        <w:t>A</w:t>
      </w:r>
      <w:r w:rsidRPr="001869C1">
        <w:rPr>
          <w:b/>
          <w:bCs/>
        </w:rPr>
        <w:t> beruházás</w:t>
      </w:r>
      <w:r w:rsidRPr="001869C1">
        <w:t> fogalma alatt a közgazdaságtan a termelőeszköz előállítását vagy vásárlását, illetve ritkább esetben az előállított vagy vásárolt eszközt érti. Tehát a gazdaság egy szereplője olyan javakhoz jut, amelyek más javak termelését segítik elő. Egy adott időszakra vizsgálva egy vállalkozás tőkeállományának növekedését jelenti.</w:t>
      </w:r>
      <w:r w:rsidRPr="001869C1">
        <w:br/>
        <w:t>Tágabb értelemben az oktatási tevékenység, mint szellemi tőke előállítása is beruházásnak tekinthető.</w:t>
      </w:r>
    </w:p>
    <w:p w14:paraId="64766E86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</w:pPr>
      <w:r w:rsidRPr="001869C1">
        <w:br/>
      </w:r>
      <w:r w:rsidRPr="001869C1">
        <w:rPr>
          <w:b/>
          <w:bCs/>
        </w:rPr>
        <w:t>A beruházás számviteli fogalmába tartozik:</w:t>
      </w:r>
      <w:r w:rsidRPr="001869C1">
        <w:br/>
        <w:t>- az új eszközök megvalósítása beszerzéssel (vásárlás útján), saját vállalkozásban, a kettő kombinációjával, idesorolandó a pénzügyi lízing keretében, továbbá a részletvétellel történő beszerzés is,</w:t>
      </w:r>
      <w:r w:rsidRPr="001869C1">
        <w:br/>
        <w:t>- a használt tárgyi eszközök beszerzése, ideértve a követelés fejében, a csere útján történő tárgyieszköz-beszerzéseket is,</w:t>
      </w:r>
      <w:r w:rsidRPr="001869C1">
        <w:br/>
        <w:t>- a koncessziós szerződés alapján megvalósított tárgyi eszközök beszerzése, saját vállalkozásban történő előállítása.</w:t>
      </w:r>
    </w:p>
    <w:p w14:paraId="2E7AED83" w14:textId="77777777" w:rsidR="001869C1" w:rsidRPr="00165460" w:rsidRDefault="001869C1" w:rsidP="00165460">
      <w:pPr>
        <w:pStyle w:val="NormlWeb"/>
        <w:shd w:val="clear" w:color="auto" w:fill="FFFFFF"/>
        <w:spacing w:before="0" w:beforeAutospacing="0" w:after="0" w:afterAutospacing="0"/>
      </w:pPr>
      <w:r w:rsidRPr="001869C1">
        <w:br/>
      </w:r>
      <w:r w:rsidRPr="001869C1">
        <w:rPr>
          <w:b/>
          <w:bCs/>
        </w:rPr>
        <w:t>A Számviteli törvény 3. paragrafusának 4. bekezdése a következőképpen határozza meg a beruházás fogalmát:</w:t>
      </w:r>
      <w:r w:rsidRPr="001869C1">
        <w:br/>
      </w:r>
      <w:r w:rsidRPr="00165460">
        <w:t>„Tárgyi eszköz beszerzése, létesítése, saját vállalkozásban történő előállítása, a beszerzett tárgyi eszköz üzembe helyezése, rendeltetésszerű használatba vétele érdekében az üzembehelyezésig, a rendeltetésszerű használatbavételig végzett tevékenység (szállítás, vámkezelés, közvetítés, alapozás, üzembe helyezés, továbbá mindaz a tevékenység, amely a tárgyi eszköz beszerzéséhez hozzákapcsolható, ideértve a tervezést, az előkészítést, a lebonyolítást, a hiteligénybevételt, a biztosítást is); beruházás a meglévő tárgyi eszköz bővítését, rendeltetésének megváltoztatását, átalakítását, élettartamának, teljesítőképességének közvetlen növelését eredményező tevékenység is, az előbbiekben felsorolt, e tevékenységhez hozzákapcsolható egyéb tevékenységekkel együtt.”</w:t>
      </w:r>
    </w:p>
    <w:p w14:paraId="3CF68478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  <w:jc w:val="both"/>
      </w:pPr>
      <w:r w:rsidRPr="001869C1">
        <w:br/>
        <w:t>A törvény előírja, hogy a vállalkozásoknak a beruházásokat a befektetett eszközök között kell nyilvántartaniuk. A beruházás a tárgyi eszköz aktiválásával ér véget.</w:t>
      </w:r>
    </w:p>
    <w:p w14:paraId="5844CD2E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</w:pPr>
      <w:r w:rsidRPr="001869C1">
        <w:br/>
      </w:r>
      <w:r w:rsidRPr="001869C1">
        <w:rPr>
          <w:b/>
          <w:bCs/>
        </w:rPr>
        <w:t>A beruházás tágabb fogalmába tartozik:</w:t>
      </w:r>
      <w:r w:rsidRPr="001869C1">
        <w:br/>
        <w:t>- a vagyonkezelési szerződés alapján kezelésbe vett tárgyi eszközök átvétele,</w:t>
      </w:r>
      <w:r w:rsidRPr="001869C1">
        <w:br/>
        <w:t>- a térítés nélkül, ajándékként vagy hagyatékként átvett tárgyi eszközök állományba vétele,</w:t>
      </w:r>
      <w:r w:rsidRPr="001869C1">
        <w:br/>
        <w:t>- a többletként fellelt tárgyi eszközök állományba vétele,</w:t>
      </w:r>
      <w:r w:rsidRPr="001869C1">
        <w:br/>
        <w:t>- a gazdasági társaságnál a nem pénzbeli hozzájárulásként átvett tárgyi eszközök állományba vétele,</w:t>
      </w:r>
      <w:r w:rsidRPr="001869C1">
        <w:br/>
        <w:t>- a gazdasági társaság tulajdonosánál a tőkeleszállításkor, a társaság megszűnésekor átvett tárgyi eszközök állományba vétele stb.</w:t>
      </w:r>
    </w:p>
    <w:p w14:paraId="62803287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  <w:jc w:val="both"/>
      </w:pPr>
      <w:r w:rsidRPr="001869C1">
        <w:br/>
      </w:r>
      <w:r w:rsidRPr="001869C1">
        <w:rPr>
          <w:b/>
          <w:bCs/>
        </w:rPr>
        <w:t>A beruházások fajtái:</w:t>
      </w:r>
    </w:p>
    <w:p w14:paraId="6B1F568F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</w:pPr>
      <w:r w:rsidRPr="001869C1">
        <w:br/>
        <w:t>A beruházásnak két fajtája van:</w:t>
      </w:r>
      <w:r w:rsidRPr="001869C1">
        <w:br/>
        <w:t>-    fix beruházás</w:t>
      </w:r>
      <w:r w:rsidRPr="001869C1">
        <w:br/>
        <w:t>-    készletberuházás</w:t>
      </w:r>
    </w:p>
    <w:p w14:paraId="2C488CE8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</w:pPr>
      <w:r w:rsidRPr="001869C1">
        <w:br/>
        <w:t>A készletberuházás a vállalkozási tevékenység fázisai között felhalmozott készleteket jelenti, melyeket később felhasználják, vagy értékesítik.</w:t>
      </w:r>
      <w:r w:rsidRPr="001869C1">
        <w:br/>
        <w:t>A fix beruházás egy folyamatos beruházás, mint pl. egy gyárépület, vagy gép. Ide tartozik a lakóingatlanok vásárlása is.</w:t>
      </w:r>
    </w:p>
    <w:p w14:paraId="5DF6FF45" w14:textId="77777777" w:rsidR="00B0559A" w:rsidRDefault="001869C1" w:rsidP="00165460">
      <w:pPr>
        <w:pStyle w:val="NormlWeb"/>
        <w:shd w:val="clear" w:color="auto" w:fill="FFFFFF"/>
        <w:spacing w:before="0" w:beforeAutospacing="0" w:after="0" w:afterAutospacing="0"/>
        <w:rPr>
          <w:b/>
          <w:bCs/>
        </w:rPr>
      </w:pPr>
      <w:r w:rsidRPr="001869C1">
        <w:rPr>
          <w:b/>
          <w:bCs/>
        </w:rPr>
        <w:br/>
      </w:r>
    </w:p>
    <w:p w14:paraId="4AF22325" w14:textId="648DA9C4" w:rsidR="00B0559A" w:rsidRDefault="001869C1" w:rsidP="00165460">
      <w:pPr>
        <w:pStyle w:val="NormlWeb"/>
        <w:shd w:val="clear" w:color="auto" w:fill="FFFFFF"/>
        <w:spacing w:before="0" w:beforeAutospacing="0" w:after="0" w:afterAutospacing="0"/>
        <w:rPr>
          <w:b/>
          <w:bCs/>
        </w:rPr>
      </w:pPr>
      <w:r w:rsidRPr="001869C1">
        <w:rPr>
          <w:b/>
          <w:bCs/>
        </w:rPr>
        <w:lastRenderedPageBreak/>
        <w:t>A beruházások csoportosítása termelő</w:t>
      </w:r>
      <w:r w:rsidR="00B0559A">
        <w:rPr>
          <w:b/>
          <w:bCs/>
        </w:rPr>
        <w:t>k</w:t>
      </w:r>
      <w:r w:rsidRPr="001869C1">
        <w:rPr>
          <w:b/>
          <w:bCs/>
        </w:rPr>
        <w:t>épesség szerint:</w:t>
      </w:r>
    </w:p>
    <w:p w14:paraId="76527BEA" w14:textId="67ABF565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</w:pPr>
      <w:r w:rsidRPr="001869C1">
        <w:br/>
        <w:t xml:space="preserve">-    nem termelő (improduktív, vagy </w:t>
      </w:r>
      <w:proofErr w:type="gramStart"/>
      <w:r w:rsidR="00B0559A">
        <w:t>n</w:t>
      </w:r>
      <w:r w:rsidRPr="001869C1">
        <w:t>on-</w:t>
      </w:r>
      <w:proofErr w:type="spellStart"/>
      <w:r w:rsidRPr="001869C1">
        <w:t>productive</w:t>
      </w:r>
      <w:proofErr w:type="spellEnd"/>
      <w:proofErr w:type="gramEnd"/>
      <w:r w:rsidRPr="001869C1">
        <w:t xml:space="preserve"> </w:t>
      </w:r>
      <w:proofErr w:type="spellStart"/>
      <w:r w:rsidRPr="001869C1">
        <w:t>investment</w:t>
      </w:r>
      <w:proofErr w:type="spellEnd"/>
      <w:r w:rsidRPr="001869C1">
        <w:t>) beruházás:</w:t>
      </w:r>
      <w:r w:rsidRPr="001869C1">
        <w:br/>
        <w:t>Ez a beruházás a társadalom nem termelő szféráinak, mint az egészségügy, oktatás, vagy kultúra működését szolgálja. Nem vesznek részt szolgáltatások és termékek előállításában.</w:t>
      </w:r>
    </w:p>
    <w:p w14:paraId="5568C5D4" w14:textId="5765CECF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</w:pPr>
      <w:r w:rsidRPr="001869C1">
        <w:br/>
        <w:t>-    termelő (produktív) beruházás:</w:t>
      </w:r>
      <w:r w:rsidRPr="001869C1">
        <w:br/>
        <w:t xml:space="preserve">Elkészültük </w:t>
      </w:r>
      <w:r w:rsidR="0085118A" w:rsidRPr="001869C1">
        <w:t>után,</w:t>
      </w:r>
      <w:r w:rsidRPr="001869C1">
        <w:t xml:space="preserve"> mint termelő fizikai tőkejavak részt vesznek különböző termékek és szolgáltatások előállításában.</w:t>
      </w:r>
    </w:p>
    <w:p w14:paraId="614C55F7" w14:textId="77777777" w:rsidR="00B0559A" w:rsidRDefault="001869C1" w:rsidP="00165460">
      <w:pPr>
        <w:pStyle w:val="NormlWeb"/>
        <w:shd w:val="clear" w:color="auto" w:fill="FFFFFF"/>
        <w:spacing w:before="0" w:beforeAutospacing="0" w:after="0" w:afterAutospacing="0"/>
        <w:rPr>
          <w:b/>
          <w:bCs/>
        </w:rPr>
      </w:pPr>
      <w:r w:rsidRPr="001869C1">
        <w:br/>
      </w:r>
      <w:r w:rsidRPr="001869C1">
        <w:rPr>
          <w:b/>
          <w:bCs/>
        </w:rPr>
        <w:t>Beruházás, mint gazdasági tényező:</w:t>
      </w:r>
    </w:p>
    <w:p w14:paraId="2F7A3FBE" w14:textId="29B6B50C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</w:pPr>
      <w:r w:rsidRPr="001869C1">
        <w:br/>
      </w:r>
      <w:bookmarkStart w:id="0" w:name="_Hlk45447016"/>
      <w:r w:rsidRPr="001869C1">
        <w:t>Beruházások üteme = egy adott időszak (általában egy év) és az előző időszak beruházási színvonalának hányadosa.</w:t>
      </w:r>
      <w:bookmarkEnd w:id="0"/>
      <w:r w:rsidRPr="001869C1">
        <w:br/>
        <w:t xml:space="preserve">A beruházások szintjét I-vel jelöljük. ez az angol </w:t>
      </w:r>
      <w:proofErr w:type="spellStart"/>
      <w:r w:rsidRPr="001869C1">
        <w:t>investment</w:t>
      </w:r>
      <w:proofErr w:type="spellEnd"/>
      <w:r w:rsidRPr="001869C1">
        <w:t xml:space="preserve"> szóból ered.</w:t>
      </w:r>
    </w:p>
    <w:p w14:paraId="7FEC1ACF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  <w:jc w:val="both"/>
      </w:pPr>
      <w:r w:rsidRPr="001869C1">
        <w:t> </w:t>
      </w:r>
    </w:p>
    <w:p w14:paraId="1FCD7FA5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  <w:jc w:val="both"/>
      </w:pPr>
      <w:r w:rsidRPr="001869C1">
        <w:t>Értéke hatással van a GDP-re. Ugyanakkor a GDP is hatással van a beruházásra és a fogyasztásra, így újból visszahatnak a GDP-re. Egy egységnyi beruházás tehát összességében a jövedelemnek nem csupán egy egységnyi növekedését eredményezi. Az egységnyi beruházás hatására történő összes jövedelemnövekedést John Maynard Keynes óta beruházási multiplikátornak nevezzük.</w:t>
      </w:r>
    </w:p>
    <w:p w14:paraId="29A6ADF1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  <w:jc w:val="both"/>
      </w:pPr>
      <w:r w:rsidRPr="001869C1">
        <w:br/>
        <w:t>A megtakarítások mértéke egybeesik a beruházások mértékével: I=S</w:t>
      </w:r>
    </w:p>
    <w:p w14:paraId="7A6BB796" w14:textId="77777777" w:rsidR="001869C1" w:rsidRPr="001869C1" w:rsidRDefault="001869C1" w:rsidP="00165460">
      <w:pPr>
        <w:pStyle w:val="NormlWeb"/>
        <w:shd w:val="clear" w:color="auto" w:fill="FFFFFF"/>
        <w:spacing w:before="0" w:beforeAutospacing="0" w:after="0" w:afterAutospacing="0"/>
        <w:jc w:val="both"/>
      </w:pPr>
      <w:r w:rsidRPr="001869C1">
        <w:br/>
        <w:t>A beruházások szintje bruttó, vagy nettó módon mérhető. Előbbinél csak a gazdaságban meglévő tőkeállomány növekedését vesszük figyelembe; utóbbi viszont a bruttó beruházások és a tőke amortizációjának különbségeként adódik, így akár negatív is lehet. Az amortizálódott tőke helyettesítésére szolgáló beruházásokat néha pótló beruházásoknak is nevezzük.</w:t>
      </w:r>
    </w:p>
    <w:p w14:paraId="683A86BE" w14:textId="77777777" w:rsidR="001869C1" w:rsidRDefault="001869C1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8F95CB" w14:textId="1C19DB44" w:rsidR="001869C1" w:rsidRDefault="001869C1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Finanszírozás</w:t>
      </w:r>
      <w:proofErr w:type="spellEnd"/>
    </w:p>
    <w:p w14:paraId="1B93383B" w14:textId="77777777" w:rsidR="001869C1" w:rsidRDefault="001869C1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61157ED" w14:textId="77777777" w:rsidR="001869C1" w:rsidRDefault="001869C1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5C4BDF9" w14:textId="79E0F484" w:rsidR="00080D24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vállalkozások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finanszírozására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források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széles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skálája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áll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rendelkezésre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szükséges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tőke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megszerezhető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pénzformában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illetve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apportként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Apportot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többnyire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alapításakor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vagy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tevékenysége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bővítésekor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bocsátanak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rendelkezésre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tulajdonosok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Apportként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csak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reáleszközök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vihetők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be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cégbe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hanem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immateriális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jószágok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Eredete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szerint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tőkeszükséglet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belső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külső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forrásokból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elégíthető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belső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finanszírozás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módjai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jellemzője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hogy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azokat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maga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hozza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létre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szükséges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tőkepiacot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felkeresnie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Önfinanszirozásként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szokták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emlegetni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67B8B998" w14:textId="77777777" w:rsidR="00080D24" w:rsidRPr="00F4618B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4B4E8A4" w14:textId="375B6C51" w:rsidR="00080D24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belső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finanszirozása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módjai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4957416F" w14:textId="77777777" w:rsidR="00B42896" w:rsidRPr="00F4618B" w:rsidRDefault="00B42896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B4DAF0D" w14:textId="3428A008" w:rsidR="00080D24" w:rsidRPr="00B42896" w:rsidRDefault="00080D24" w:rsidP="00B42896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nyereség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visszaforgatásából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: a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nyereség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alatt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számviteli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eredményt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kell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érteni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amiből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még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vállalat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természetesen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osztalékot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fizet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. A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nyereség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fennmaradó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része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mérleg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szerinti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eredmény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. Az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ilyen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címen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képződő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forrás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nagysága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függ</w:t>
      </w:r>
      <w:proofErr w:type="spellEnd"/>
      <w:r w:rsidRPr="00B42896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524ECD59" w14:textId="77777777" w:rsidR="00B42896" w:rsidRPr="00B42896" w:rsidRDefault="00B42896" w:rsidP="00B4289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E41468A" w14:textId="77777777" w:rsidR="00080D24" w:rsidRPr="00F4618B" w:rsidRDefault="00080D24" w:rsidP="00D277B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-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gazdálkodásának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eredményétől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793BD42D" w14:textId="77777777" w:rsidR="00080D24" w:rsidRPr="00F4618B" w:rsidRDefault="00080D24" w:rsidP="00D277B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-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által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igénybevehető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adókedvezményektől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0747BD75" w14:textId="5BD33E73" w:rsidR="00080D24" w:rsidRDefault="00080D24" w:rsidP="00D277B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-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osztalékpolitikájától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20FAB80" w14:textId="77777777" w:rsidR="00B42896" w:rsidRPr="00F4618B" w:rsidRDefault="00B42896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63BF5C3" w14:textId="07E57786" w:rsidR="00080D24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Az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eredményből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visszaforgatott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tőke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ingyenesen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áll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rendelkezésére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(A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tulajdonos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lemond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erről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részről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). Mi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motiválja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őket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lemondásra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?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Magától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értetődően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várakozás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hogy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visszaforgatott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nyereségből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vásárolt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eszközök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jövőben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vagyonunk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gyarapodásához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későbbi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években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fizethető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osztalék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növekedéshez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vezetnek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nyereségből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visszatartott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forrás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költsége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tehát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tulajdonosi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tőkeköltségével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azonosítható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9270781" w14:textId="77777777" w:rsidR="00B42896" w:rsidRPr="00F4618B" w:rsidRDefault="00B42896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5025E3" w14:textId="284295A2" w:rsidR="00080D24" w:rsidRPr="00A904E3" w:rsidRDefault="00080D24" w:rsidP="00D277BA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Az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amortizáció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, mint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belső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finanszírozási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forrás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kiemelendő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értékcsökkenési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leírás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, mint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belső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finanszírozási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forrás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Valójában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csak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akkor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áll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rendelkezésére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, ha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azt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eladási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árain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keresztül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piacon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érvényesíteni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tudja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. Ha a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termék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eladó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által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szándékoltnál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alacsonyabb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áron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kel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el,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esetleg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nem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is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talál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gazdára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ilyen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esetekben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amortizáció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csak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részlegesen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esetleg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egyáltalán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nem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realizálható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. Az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amortizáció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címén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képződő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forrás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létrejöttének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alapvető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feltétele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tehát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piac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kedvező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értékítélete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tevékenységéről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. Az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amortizációból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származó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belső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finanszírozási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forrás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nagyságát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feltételezés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mellett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következő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tényezők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>határozzák</w:t>
      </w:r>
      <w:proofErr w:type="spellEnd"/>
      <w:r w:rsidRPr="00A904E3">
        <w:rPr>
          <w:rFonts w:ascii="Times New Roman" w:hAnsi="Times New Roman"/>
          <w:sz w:val="24"/>
          <w:szCs w:val="24"/>
          <w:shd w:val="clear" w:color="auto" w:fill="FFFFFF"/>
        </w:rPr>
        <w:t xml:space="preserve"> meg:</w:t>
      </w:r>
    </w:p>
    <w:p w14:paraId="063B33E5" w14:textId="77777777" w:rsidR="00A904E3" w:rsidRPr="00A904E3" w:rsidRDefault="00A904E3" w:rsidP="00A904E3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ECA4C76" w14:textId="77777777" w:rsidR="00080D24" w:rsidRPr="00F4618B" w:rsidRDefault="00080D24" w:rsidP="00D277BA">
      <w:pPr>
        <w:spacing w:after="0" w:line="240" w:lineRule="auto"/>
        <w:ind w:left="567" w:hanging="14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-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tárgyi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eszközök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értéke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együttes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érték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van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hatással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amortizációra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Dinamikus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szinten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tartás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ha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tárgyieszköz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állománya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évről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évre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azonban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figyelembe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kell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venni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technikai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fejlődés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ütemét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inflációt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és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leírás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módját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is.</w:t>
      </w:r>
    </w:p>
    <w:p w14:paraId="01E3F9ED" w14:textId="77777777" w:rsidR="00080D24" w:rsidRPr="00F4618B" w:rsidRDefault="00080D24" w:rsidP="00D277BA">
      <w:pPr>
        <w:spacing w:after="0" w:line="240" w:lineRule="auto"/>
        <w:ind w:left="567" w:hanging="14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-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tárgyi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eszközök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használati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ideje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számviteli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törvény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igen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sokféle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lehetőséget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biztosit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ÉCS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leírás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módjának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kiválasztásához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Vállalatnak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figyelembe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kell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vennie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fizikai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elhasználódáson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túl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műszaki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fejlődésből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bekövetkező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avulást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is.</w:t>
      </w:r>
    </w:p>
    <w:p w14:paraId="21F7AF46" w14:textId="2A1E8E79" w:rsidR="00080D24" w:rsidRDefault="00080D24" w:rsidP="00D277B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amortizáció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elszámolásának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módja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714C7086" w14:textId="77777777" w:rsidR="00D277BA" w:rsidRPr="00F4618B" w:rsidRDefault="00D277BA" w:rsidP="00D277B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60BD06C" w14:textId="77777777" w:rsidR="00080D24" w:rsidRPr="00F4618B" w:rsidRDefault="00080D24" w:rsidP="00D277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1.)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egyenletes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ütemben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lineárisan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7E478E5B" w14:textId="77777777" w:rsidR="00080D24" w:rsidRPr="00F4618B" w:rsidRDefault="00080D24" w:rsidP="00D277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2.)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lassított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ütemben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progresszíven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1A2D3212" w14:textId="77777777" w:rsidR="00080D24" w:rsidRPr="00F4618B" w:rsidRDefault="00080D24" w:rsidP="00D277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3.)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gyorsított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ütemben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degresszíven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2E69D80" w14:textId="77777777" w:rsidR="00080D24" w:rsidRPr="00F4618B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43523D8" w14:textId="57036F53" w:rsidR="00080D24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Finanszírozás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vagyon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átrendezéséből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szükségtelen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vagyontárgyakat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értékesíti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vagyis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korábban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lekötött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tőke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egy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része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felszabadul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újrabefektethetővé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válik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39D2B319" w14:textId="632D87CB" w:rsidR="00610B97" w:rsidRDefault="00610B97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5AD0856" w14:textId="54DE6CF2" w:rsidR="00080D24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külső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finanszírozás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módjai</w:t>
      </w:r>
      <w:proofErr w:type="spellEnd"/>
    </w:p>
    <w:p w14:paraId="740659D3" w14:textId="77777777" w:rsidR="00610B97" w:rsidRPr="00F4618B" w:rsidRDefault="00610B97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9CDF472" w14:textId="77777777" w:rsidR="00610B97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Míg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önfinanszirozás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forrásai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jóformán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automatikusan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állnak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rendelkezésre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ilyen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értelemben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menedzsment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számára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kényelmesen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könnyen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hozzáférhetők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addig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külső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források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megszerzése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minden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esetben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erőfeszítést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igényel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3F075BCA" w14:textId="77777777" w:rsidR="00610B97" w:rsidRDefault="00610B97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84EB4C1" w14:textId="69C3E08B" w:rsidR="00610B97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külső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finanszírozás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alapvető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formái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1A8A19CD" w14:textId="77777777" w:rsidR="00610B97" w:rsidRDefault="00610B97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65E6D0A" w14:textId="77777777" w:rsidR="00610B97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-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kölcsönforrás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proofErr w:type="gram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)</w:t>
      </w:r>
      <w:proofErr w:type="gram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igénybevétele</w:t>
      </w:r>
      <w:proofErr w:type="spellEnd"/>
    </w:p>
    <w:p w14:paraId="2C9F6380" w14:textId="46317512" w:rsidR="00610B97" w:rsidRDefault="00080D24" w:rsidP="00610B97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-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pótlólagos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saját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tőke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bevonása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(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részesedés</w:t>
      </w:r>
      <w:proofErr w:type="spellEnd"/>
      <w:proofErr w:type="gram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finanszirozása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) Az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idegen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forrás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megválasztását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elsősorban</w:t>
      </w:r>
      <w:proofErr w:type="spellEnd"/>
    </w:p>
    <w:p w14:paraId="72651D69" w14:textId="77777777" w:rsidR="00610B97" w:rsidRDefault="00610B97" w:rsidP="00610B97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8A89153" w14:textId="77777777" w:rsidR="00610B97" w:rsidRDefault="00080D24" w:rsidP="00610B9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1.)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annak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piaci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17973975" w14:textId="77777777" w:rsidR="00610B97" w:rsidRDefault="00080D24" w:rsidP="00610B9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2.)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elérhetősége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01EAC1C6" w14:textId="77777777" w:rsidR="00610B97" w:rsidRDefault="00080D24" w:rsidP="00610B9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3.)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elérési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ideje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határozza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meg.</w:t>
      </w:r>
    </w:p>
    <w:p w14:paraId="131362D9" w14:textId="77777777" w:rsidR="00610B97" w:rsidRDefault="00610B97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3F5C2E8" w14:textId="77777777" w:rsidR="00572C49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kölcsönforrás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piaci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csupán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használatáért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fizetett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díjat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kamatot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tartalmazza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hanem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magában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foglalja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megszerzésével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kapcsolatos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valamennyi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ráfordítást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is. (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egyszeri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kezelési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költség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hitelbirálati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díj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kibocsátás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forgalmazás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költsége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63E8DB2" w14:textId="77777777" w:rsidR="00572C49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Elérhetősége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pl.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kötvénypiac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mely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csak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meghatározott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méretű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közismert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cégek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számára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jöhet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számításba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Elérés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ideje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mekkora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átfutási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idővel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számolhatunk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Előfordulhat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hogy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beruházás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késedelmes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megkezdése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nagyobb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veszteséget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okozna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mint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leggyorsabban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megszerezhető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forrás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A995829" w14:textId="77777777" w:rsidR="005B3B33" w:rsidRDefault="005B3B33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1873AD9" w14:textId="0E94DD4D" w:rsidR="005B3B33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Finanszírozás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bankhitellel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5B3B33">
        <w:rPr>
          <w:rFonts w:ascii="Times New Roman" w:hAnsi="Times New Roman"/>
          <w:sz w:val="24"/>
          <w:szCs w:val="24"/>
          <w:shd w:val="clear" w:color="auto" w:fill="FFFFFF"/>
        </w:rPr>
        <w:t xml:space="preserve"> a</w:t>
      </w: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bankhitelek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osztályozásának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rendező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elve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7FFA96A1" w14:textId="77777777" w:rsidR="003D1F6A" w:rsidRDefault="003D1F6A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C4E1F63" w14:textId="77777777" w:rsidR="003D1F6A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1.)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meghatározott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projekt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finanszirozása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3D1F6A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de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tartoznak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beruházási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hitelek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Többnyire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éven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túli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mellyel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jövőben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képződő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pénzjövedelmét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megelőlegezi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bank.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segítségével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tulajdonképpen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csak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előrehozza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pénzjövedelme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felhasználását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D35AC96" w14:textId="77777777" w:rsidR="003D1F6A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2.)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gazdálkodásának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egészére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vonatkozó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: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finanszírozásáról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van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szó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és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inkább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üzlet</w:t>
      </w:r>
      <w:proofErr w:type="spellEnd"/>
      <w:r w:rsidR="003D1F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</w:t>
      </w:r>
      <w:r w:rsidR="003D1F6A">
        <w:rPr>
          <w:rFonts w:ascii="Times New Roman" w:hAnsi="Times New Roman"/>
          <w:sz w:val="24"/>
          <w:szCs w:val="24"/>
          <w:shd w:val="clear" w:color="auto" w:fill="FFFFFF"/>
        </w:rPr>
        <w:t>í</w:t>
      </w:r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rozás</w:t>
      </w:r>
      <w:r w:rsidR="003D1F6A">
        <w:rPr>
          <w:rFonts w:ascii="Times New Roman" w:hAnsi="Times New Roman"/>
          <w:sz w:val="24"/>
          <w:szCs w:val="24"/>
          <w:shd w:val="clear" w:color="auto" w:fill="FFFFFF"/>
        </w:rPr>
        <w:t>ának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céljára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igénylik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bár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ritkán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előfordul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fejlesztési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célnál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is.</w:t>
      </w:r>
    </w:p>
    <w:p w14:paraId="57EEC567" w14:textId="32A262AF" w:rsidR="003D1F6A" w:rsidRDefault="003D1F6A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8346A6D" w14:textId="77777777" w:rsidR="003D1F6A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hitelezés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folyamata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2271D8C1" w14:textId="77777777" w:rsidR="001E642A" w:rsidRDefault="001E642A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37CB988" w14:textId="42E691BD" w:rsidR="001E642A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a.)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hitelkérelem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összeállítása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hiteligényét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hitelkérelem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benyújtásával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jelzi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bank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felé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Melynek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tartalmaznia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kell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hiteligény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szöveges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indoklását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Ezen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belül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kért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célját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összegét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igénybevételének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tervezett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időpontját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törlesztésének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ütemét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hiteligénylő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által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felajánlott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biztosítékokat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Az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igénylő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be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szokta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mutatni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gazdálkodását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megelőző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időszakra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és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hitelkapcsolat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tervezett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időszakára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is. Be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kell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még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mutatni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létét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igazoló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okmányokat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utolsó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vagy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három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év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számviteli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beszámolóján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kivül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projekt</w:t>
      </w:r>
      <w:proofErr w:type="spellEnd"/>
      <w:r w:rsidR="00AB237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finansz</w:t>
      </w:r>
      <w:r w:rsidR="00AB2377">
        <w:rPr>
          <w:rFonts w:ascii="Times New Roman" w:hAnsi="Times New Roman"/>
          <w:sz w:val="24"/>
          <w:szCs w:val="24"/>
          <w:shd w:val="clear" w:color="auto" w:fill="FFFFFF"/>
        </w:rPr>
        <w:t>í</w:t>
      </w:r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rozás</w:t>
      </w:r>
      <w:r w:rsidR="00AB2377">
        <w:rPr>
          <w:rFonts w:ascii="Times New Roman" w:hAnsi="Times New Roman"/>
          <w:sz w:val="24"/>
          <w:szCs w:val="24"/>
          <w:shd w:val="clear" w:color="auto" w:fill="FFFFFF"/>
        </w:rPr>
        <w:t>á</w:t>
      </w:r>
      <w:r w:rsidRPr="00F4618B">
        <w:rPr>
          <w:rFonts w:ascii="Times New Roman" w:hAnsi="Times New Roman"/>
          <w:sz w:val="24"/>
          <w:szCs w:val="24"/>
          <w:shd w:val="clear" w:color="auto" w:fill="FFFFFF"/>
        </w:rPr>
        <w:t>ra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kért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hitelekhez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üzleti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tervét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projekt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gazdaságossági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számításait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nagyobb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beruházásoknál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ún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megvalós</w:t>
      </w:r>
      <w:r w:rsidR="00AB2377">
        <w:rPr>
          <w:rFonts w:ascii="Times New Roman" w:hAnsi="Times New Roman"/>
          <w:sz w:val="24"/>
          <w:szCs w:val="24"/>
          <w:shd w:val="clear" w:color="auto" w:fill="FFFFFF"/>
        </w:rPr>
        <w:t>í</w:t>
      </w:r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thatósági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tanulmányt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mellékelni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szokták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668BAF77" w14:textId="77777777" w:rsidR="001E642A" w:rsidRDefault="001E642A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D7DB370" w14:textId="77777777" w:rsidR="001E642A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b.)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hitelkérelem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befogadása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bank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átvételkor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ellenőrzi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anyag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teljességét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érkezését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dátumbélyegzővel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látja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el.</w:t>
      </w:r>
    </w:p>
    <w:p w14:paraId="20C8C3AD" w14:textId="77777777" w:rsidR="001E642A" w:rsidRDefault="001E642A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196DA5A" w14:textId="26A82925" w:rsidR="00C869D3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c.) Az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adósminősités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bankok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hiteligénylő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partnereiket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azok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hitelképességét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jelző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adósosztályok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valamelyikébe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szokták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besorolni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Többfajta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mutató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segítségével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végzik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besorolást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mutatók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bookmarkStart w:id="1" w:name="_GoBack"/>
      <w:bookmarkEnd w:id="1"/>
      <w:proofErr w:type="spellStart"/>
      <w:r w:rsidR="002172ED" w:rsidRPr="00F4618B">
        <w:rPr>
          <w:rFonts w:ascii="Times New Roman" w:hAnsi="Times New Roman"/>
          <w:sz w:val="24"/>
          <w:szCs w:val="24"/>
          <w:shd w:val="clear" w:color="auto" w:fill="FFFFFF"/>
        </w:rPr>
        <w:t>néha</w:t>
      </w:r>
      <w:proofErr w:type="spellEnd"/>
      <w:r w:rsidR="002172ED"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172ED" w:rsidRPr="00F4618B">
        <w:rPr>
          <w:rFonts w:ascii="Times New Roman" w:hAnsi="Times New Roman"/>
          <w:sz w:val="24"/>
          <w:szCs w:val="24"/>
          <w:shd w:val="clear" w:color="auto" w:fill="FFFFFF"/>
        </w:rPr>
        <w:t>önmagukban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is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értékelhetők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bár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célszerűbb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komplexen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nézni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azokat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.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mutatók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viszonyítása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történhet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bázishoz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, 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tervhez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vagy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hasonló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profilú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méretű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cég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adatához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EE3D100" w14:textId="77777777" w:rsidR="006E386A" w:rsidRDefault="006E386A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34B9D60" w14:textId="486B6909" w:rsidR="006E386A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Likviditási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mutató</w:t>
      </w:r>
      <w:r w:rsidR="006B3CF1">
        <w:rPr>
          <w:rFonts w:ascii="Times New Roman" w:hAnsi="Times New Roman"/>
          <w:sz w:val="24"/>
          <w:szCs w:val="24"/>
          <w:shd w:val="clear" w:color="auto" w:fill="FFFFFF"/>
        </w:rPr>
        <w:t>k</w:t>
      </w:r>
      <w:proofErr w:type="spellEnd"/>
    </w:p>
    <w:p w14:paraId="7297E515" w14:textId="77777777" w:rsidR="006E386A" w:rsidRDefault="006E386A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1F26081" w14:textId="1A6CFB73" w:rsidR="006E386A" w:rsidRPr="006E386A" w:rsidRDefault="00080D24" w:rsidP="006E386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Hitelképességi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mutatók</w:t>
      </w:r>
      <w:proofErr w:type="spellEnd"/>
    </w:p>
    <w:p w14:paraId="772E2682" w14:textId="5C83B8F0" w:rsidR="00577023" w:rsidRPr="00850121" w:rsidRDefault="00080D24" w:rsidP="0085012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Forgóeszközök</w:t>
      </w:r>
      <w:proofErr w:type="spellEnd"/>
    </w:p>
    <w:p w14:paraId="787FD48B" w14:textId="77777777" w:rsidR="00850121" w:rsidRDefault="00080D24" w:rsidP="006E386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Fizetőképesség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mutató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gyorsráta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14:paraId="375EE2D3" w14:textId="77777777" w:rsidR="00850121" w:rsidRDefault="00080D24" w:rsidP="006E386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Készletek</w:t>
      </w:r>
      <w:proofErr w:type="spellEnd"/>
    </w:p>
    <w:p w14:paraId="1B584539" w14:textId="77777777" w:rsidR="00850121" w:rsidRDefault="00080D24" w:rsidP="006E386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Rövid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lejáratú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kötelezettségek</w:t>
      </w:r>
      <w:proofErr w:type="spellEnd"/>
    </w:p>
    <w:p w14:paraId="6BE78DB0" w14:textId="00EBA21B" w:rsidR="00EE3775" w:rsidRDefault="00080D24" w:rsidP="00EE377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Adósságszolgálati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fedezet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mutatója</w:t>
      </w:r>
      <w:proofErr w:type="spellEnd"/>
    </w:p>
    <w:p w14:paraId="6E20B716" w14:textId="77777777" w:rsidR="00EE3775" w:rsidRDefault="00080D24" w:rsidP="006E386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Eladósodottsági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mutató</w:t>
      </w:r>
      <w:proofErr w:type="spellEnd"/>
    </w:p>
    <w:p w14:paraId="479CA7FD" w14:textId="77777777" w:rsidR="00EE3775" w:rsidRDefault="00080D24" w:rsidP="006E386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Kamatfedezeti</w:t>
      </w:r>
      <w:proofErr w:type="spellEnd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386A">
        <w:rPr>
          <w:rFonts w:ascii="Times New Roman" w:hAnsi="Times New Roman"/>
          <w:sz w:val="24"/>
          <w:szCs w:val="24"/>
          <w:shd w:val="clear" w:color="auto" w:fill="FFFFFF"/>
        </w:rPr>
        <w:t>mutató</w:t>
      </w:r>
      <w:proofErr w:type="spellEnd"/>
    </w:p>
    <w:p w14:paraId="7D8C27CD" w14:textId="77777777" w:rsidR="00EE3775" w:rsidRDefault="00EE3775" w:rsidP="00EE3775">
      <w:pPr>
        <w:pStyle w:val="Listaszerbekezds"/>
        <w:spacing w:after="0" w:line="240" w:lineRule="auto"/>
        <w:ind w:left="735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8897E61" w14:textId="7FE76EF0" w:rsidR="00EE3775" w:rsidRDefault="00080D24" w:rsidP="00EE377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vállalkozás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jövedelmezőségét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jellemző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mutatók</w:t>
      </w:r>
      <w:proofErr w:type="spellEnd"/>
    </w:p>
    <w:p w14:paraId="6C97F46E" w14:textId="77777777" w:rsidR="002A3FB2" w:rsidRDefault="002A3FB2" w:rsidP="00EE377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A8F3555" w14:textId="34B38B06" w:rsidR="00244C10" w:rsidRDefault="00080D24" w:rsidP="00EE377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2" w:name="_Hlk45447173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saját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tőke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jövedelmezősége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(ROE) </w:t>
      </w:r>
    </w:p>
    <w:bookmarkEnd w:id="2"/>
    <w:p w14:paraId="0460074E" w14:textId="77777777" w:rsidR="00B260B0" w:rsidRDefault="00080D24" w:rsidP="00EE377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Eszközarányos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jövedelem</w:t>
      </w:r>
      <w:proofErr w:type="spellEnd"/>
    </w:p>
    <w:p w14:paraId="152DFBF3" w14:textId="24421141" w:rsidR="00244C10" w:rsidRPr="00244C10" w:rsidRDefault="00080D24" w:rsidP="00EE377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Adózott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eredmény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4F1B70BC" w14:textId="2C0E8EF3" w:rsidR="00244C10" w:rsidRPr="00244C10" w:rsidRDefault="00080D24" w:rsidP="00EE377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Árbevételarányos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jövedelem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30E31E0A" w14:textId="77777777" w:rsidR="002A3FB2" w:rsidRDefault="00080D24" w:rsidP="00EE377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Egy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főre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jutó</w:t>
      </w:r>
      <w:proofErr w:type="spellEnd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3775">
        <w:rPr>
          <w:rFonts w:ascii="Times New Roman" w:hAnsi="Times New Roman"/>
          <w:sz w:val="24"/>
          <w:szCs w:val="24"/>
          <w:shd w:val="clear" w:color="auto" w:fill="FFFFFF"/>
        </w:rPr>
        <w:t>jövedelem</w:t>
      </w:r>
      <w:proofErr w:type="spellEnd"/>
    </w:p>
    <w:p w14:paraId="4A259040" w14:textId="14043163" w:rsidR="00080D24" w:rsidRPr="00EE3775" w:rsidRDefault="00080D24" w:rsidP="002A3FB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AA1E218" w14:textId="4F6B666B" w:rsidR="00817F4E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Hatékonysági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mutatók</w:t>
      </w:r>
      <w:proofErr w:type="spellEnd"/>
    </w:p>
    <w:p w14:paraId="6644FD72" w14:textId="77777777" w:rsidR="00817F4E" w:rsidRDefault="00817F4E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445713" w14:textId="77777777" w:rsidR="005B2353" w:rsidRPr="005B2353" w:rsidRDefault="00080D24" w:rsidP="00817F4E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Az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összes</w:t>
      </w:r>
      <w:proofErr w:type="spellEnd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eszköz</w:t>
      </w:r>
      <w:proofErr w:type="spellEnd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forgása</w:t>
      </w:r>
      <w:proofErr w:type="spellEnd"/>
    </w:p>
    <w:p w14:paraId="30260F58" w14:textId="74F2E4E7" w:rsidR="005B2353" w:rsidRDefault="00080D24" w:rsidP="00817F4E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tárgyi</w:t>
      </w:r>
      <w:proofErr w:type="spellEnd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eszközök</w:t>
      </w:r>
      <w:proofErr w:type="spellEnd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elhasználódottsága</w:t>
      </w:r>
      <w:proofErr w:type="spellEnd"/>
    </w:p>
    <w:p w14:paraId="1E1BCC41" w14:textId="688E38C7" w:rsidR="00080D24" w:rsidRPr="00817F4E" w:rsidRDefault="00080D24" w:rsidP="00817F4E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forgóeszközök</w:t>
      </w:r>
      <w:proofErr w:type="spellEnd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forgási</w:t>
      </w:r>
      <w:proofErr w:type="spellEnd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ideje</w:t>
      </w:r>
      <w:proofErr w:type="spellEnd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>napokban</w:t>
      </w:r>
      <w:proofErr w:type="spellEnd"/>
      <w:r w:rsidRPr="00817F4E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</w:p>
    <w:p w14:paraId="2697CA6A" w14:textId="77777777" w:rsidR="005B2353" w:rsidRDefault="005B2353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74FC137" w14:textId="77777777" w:rsidR="005B2353" w:rsidRDefault="00080D24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vagyoni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és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piaci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helyzetet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jellemző</w:t>
      </w:r>
      <w:proofErr w:type="spellEnd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4618B">
        <w:rPr>
          <w:rFonts w:ascii="Times New Roman" w:hAnsi="Times New Roman"/>
          <w:sz w:val="24"/>
          <w:szCs w:val="24"/>
          <w:shd w:val="clear" w:color="auto" w:fill="FFFFFF"/>
        </w:rPr>
        <w:t>mutatók</w:t>
      </w:r>
      <w:proofErr w:type="spellEnd"/>
    </w:p>
    <w:p w14:paraId="74634B0A" w14:textId="77777777" w:rsidR="005B2353" w:rsidRDefault="005B2353" w:rsidP="00080D2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FA651AB" w14:textId="6BFAC798" w:rsidR="005B2353" w:rsidRDefault="00080D24" w:rsidP="005B235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Tőkemultiplikátor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161E9CA8" w14:textId="1ED2F4EB" w:rsidR="005B2353" w:rsidRDefault="00080D24" w:rsidP="005B235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saját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tőke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növekedése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76A4175D" w14:textId="54BD8646" w:rsidR="005B2353" w:rsidRDefault="00080D24" w:rsidP="005B235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Nettó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forgótőke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ellátottság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676387CC" w14:textId="69E07825" w:rsidR="005B2353" w:rsidRDefault="00080D24" w:rsidP="005B235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Az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egy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részvényre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jutó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nyereség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(EPS) </w:t>
      </w:r>
    </w:p>
    <w:p w14:paraId="11AA8D75" w14:textId="266747B6" w:rsidR="0008571E" w:rsidRPr="00B0559A" w:rsidRDefault="00080D24" w:rsidP="00FE4B3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Árfolyam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/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Nyereség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arány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 xml:space="preserve"> (P/E </w:t>
      </w:r>
      <w:proofErr w:type="spellStart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ráta</w:t>
      </w:r>
      <w:proofErr w:type="spellEnd"/>
      <w:r w:rsidRPr="005B2353"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sectPr w:rsidR="0008571E" w:rsidRPr="00B0559A" w:rsidSect="00B0559A">
      <w:pgSz w:w="11906" w:h="16838"/>
      <w:pgMar w:top="993" w:right="1274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63E8"/>
    <w:multiLevelType w:val="hybridMultilevel"/>
    <w:tmpl w:val="6FBAD342"/>
    <w:lvl w:ilvl="0" w:tplc="3822F57E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8446F"/>
    <w:multiLevelType w:val="hybridMultilevel"/>
    <w:tmpl w:val="4B1E2318"/>
    <w:lvl w:ilvl="0" w:tplc="140424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228A8"/>
    <w:multiLevelType w:val="hybridMultilevel"/>
    <w:tmpl w:val="C7CED3A4"/>
    <w:lvl w:ilvl="0" w:tplc="E51AC38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066B1"/>
    <w:multiLevelType w:val="hybridMultilevel"/>
    <w:tmpl w:val="D0E0D730"/>
    <w:lvl w:ilvl="0" w:tplc="094052F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660EA"/>
    <w:multiLevelType w:val="hybridMultilevel"/>
    <w:tmpl w:val="FF62E544"/>
    <w:lvl w:ilvl="0" w:tplc="DD98C034">
      <w:start w:val="1"/>
      <w:numFmt w:val="upperLetter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D24"/>
    <w:rsid w:val="00080D24"/>
    <w:rsid w:val="000B2994"/>
    <w:rsid w:val="00151838"/>
    <w:rsid w:val="00165460"/>
    <w:rsid w:val="00177486"/>
    <w:rsid w:val="001869C1"/>
    <w:rsid w:val="001C6396"/>
    <w:rsid w:val="001E642A"/>
    <w:rsid w:val="002172ED"/>
    <w:rsid w:val="00244C10"/>
    <w:rsid w:val="002A3FB2"/>
    <w:rsid w:val="00397E9E"/>
    <w:rsid w:val="003D1F6A"/>
    <w:rsid w:val="004D74FD"/>
    <w:rsid w:val="00554714"/>
    <w:rsid w:val="00572C49"/>
    <w:rsid w:val="00577023"/>
    <w:rsid w:val="005B2353"/>
    <w:rsid w:val="005B3B33"/>
    <w:rsid w:val="00610B97"/>
    <w:rsid w:val="006A4341"/>
    <w:rsid w:val="006B3504"/>
    <w:rsid w:val="006B3CF1"/>
    <w:rsid w:val="006E386A"/>
    <w:rsid w:val="00817F4E"/>
    <w:rsid w:val="00850121"/>
    <w:rsid w:val="0085118A"/>
    <w:rsid w:val="00A77008"/>
    <w:rsid w:val="00A904E3"/>
    <w:rsid w:val="00AB2377"/>
    <w:rsid w:val="00AC63BE"/>
    <w:rsid w:val="00B0559A"/>
    <w:rsid w:val="00B0789A"/>
    <w:rsid w:val="00B260B0"/>
    <w:rsid w:val="00B42896"/>
    <w:rsid w:val="00C75279"/>
    <w:rsid w:val="00C86966"/>
    <w:rsid w:val="00C869D3"/>
    <w:rsid w:val="00D277BA"/>
    <w:rsid w:val="00D92E2C"/>
    <w:rsid w:val="00E00142"/>
    <w:rsid w:val="00EE3775"/>
    <w:rsid w:val="00FE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DB66D"/>
  <w15:chartTrackingRefBased/>
  <w15:docId w15:val="{6001DB04-ADCF-4056-878F-4929BDF5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80D24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42896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186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1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28D13-6562-4E72-A17F-C19AABB1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1372</Words>
  <Characters>9473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Gabor Bekesi</dc:creator>
  <cp:keywords/>
  <dc:description/>
  <cp:lastModifiedBy>Patrícia Németh</cp:lastModifiedBy>
  <cp:revision>4</cp:revision>
  <dcterms:created xsi:type="dcterms:W3CDTF">2020-08-05T09:25:00Z</dcterms:created>
  <dcterms:modified xsi:type="dcterms:W3CDTF">2020-08-05T09:32:00Z</dcterms:modified>
</cp:coreProperties>
</file>